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D6B5" w14:textId="77777777" w:rsidR="002D7470" w:rsidRDefault="002D7470" w:rsidP="000044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6476969" wp14:editId="1CA3B165">
            <wp:extent cx="5943600" cy="165513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5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9A563" w14:textId="77777777" w:rsidR="002D7470" w:rsidRDefault="002D7470" w:rsidP="000044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267C9" w14:textId="01E89B33" w:rsidR="002D7470" w:rsidRDefault="002D7470" w:rsidP="0000442A">
      <w:pPr>
        <w:spacing w:line="240" w:lineRule="auto"/>
        <w:jc w:val="center"/>
        <w:rPr>
          <w:rFonts w:eastAsiaTheme="majorEastAsia" w:cstheme="majorBidi"/>
          <w:bCs/>
          <w:color w:val="000000" w:themeColor="text1"/>
          <w:spacing w:val="5"/>
          <w:kern w:val="28"/>
          <w:sz w:val="28"/>
          <w:szCs w:val="28"/>
          <w:lang w:val="en-GB"/>
        </w:rPr>
      </w:pPr>
    </w:p>
    <w:p w14:paraId="6E38BD71" w14:textId="5E187318" w:rsidR="009861F8" w:rsidRDefault="009861F8" w:rsidP="009861F8">
      <w:pPr>
        <w:spacing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Financing and Growth</w:t>
      </w:r>
      <w:r w:rsidRPr="007D0DEE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S</w:t>
      </w:r>
      <w:r w:rsidRPr="007D0DEE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trategies for 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Cyprus </w:t>
      </w:r>
      <w:r w:rsidRPr="007D0DEE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Startup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s</w:t>
      </w:r>
    </w:p>
    <w:p w14:paraId="6B04385B" w14:textId="77777777" w:rsidR="009861F8" w:rsidRPr="007D0DEE" w:rsidRDefault="009861F8" w:rsidP="009861F8">
      <w:pPr>
        <w:spacing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14:paraId="38C44F06" w14:textId="77777777" w:rsidR="009861F8" w:rsidRPr="00103C57" w:rsidRDefault="009861F8" w:rsidP="009861F8">
      <w:pPr>
        <w:spacing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Cleopatra Hotel</w:t>
      </w:r>
    </w:p>
    <w:p w14:paraId="5396A74D" w14:textId="77777777" w:rsidR="00AD29C4" w:rsidRPr="002D7470" w:rsidRDefault="00AD29C4" w:rsidP="000044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C04704C" w14:textId="11C88F7D" w:rsidR="002D7470" w:rsidRDefault="00B0060E" w:rsidP="0000442A">
      <w:pPr>
        <w:spacing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  <w:lang w:val="en-GB"/>
        </w:rPr>
        <w:t xml:space="preserve">16 December </w:t>
      </w:r>
      <w:r w:rsidR="002D7470" w:rsidRPr="007D0DEE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9</w:t>
      </w:r>
      <w:r w:rsidR="002D7470" w:rsidRPr="00103C57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, 09.00 – 17.00</w:t>
      </w:r>
    </w:p>
    <w:p w14:paraId="049F19E4" w14:textId="1BF2F6B1" w:rsidR="0000442A" w:rsidRDefault="0000442A" w:rsidP="009861F8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color w:val="4472C4" w:themeColor="accent5"/>
          <w:szCs w:val="24"/>
        </w:rPr>
      </w:pPr>
    </w:p>
    <w:p w14:paraId="52EEB30D" w14:textId="77777777" w:rsidR="009861F8" w:rsidRPr="00E03882" w:rsidRDefault="009861F8" w:rsidP="009861F8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Cs w:val="24"/>
        </w:rPr>
      </w:pPr>
    </w:p>
    <w:p w14:paraId="66B0F626" w14:textId="6CD897C3" w:rsidR="0000442A" w:rsidRPr="00E03882" w:rsidRDefault="0000442A" w:rsidP="0000442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7D10B67" w14:textId="5DD7D125" w:rsidR="00103C57" w:rsidRDefault="00E03882" w:rsidP="00E03882">
      <w:r>
        <w:t xml:space="preserve">The objective of the seminar is to understand common industry practice for (a) attracting external financing of </w:t>
      </w:r>
      <w:r w:rsidR="008631A3">
        <w:t>startup</w:t>
      </w:r>
      <w:r>
        <w:t xml:space="preserve">s and (b) modelling and preparing for growth. These two issues are closely related, as investors want to understand how a </w:t>
      </w:r>
      <w:r w:rsidR="008631A3">
        <w:t>startup</w:t>
      </w:r>
      <w:r>
        <w:t xml:space="preserve"> will evolve and what chances of success exist for a return on investment. </w:t>
      </w:r>
    </w:p>
    <w:p w14:paraId="0609E2F7" w14:textId="1CB4C4F9" w:rsidR="00B3023A" w:rsidRPr="00B0060E" w:rsidRDefault="00B3023A" w:rsidP="0000442A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F96042" w:rsidRPr="00030A75" w14:paraId="594DA6D6" w14:textId="77777777" w:rsidTr="00030A75">
        <w:tc>
          <w:tcPr>
            <w:tcW w:w="895" w:type="dxa"/>
            <w:vMerge w:val="restart"/>
          </w:tcPr>
          <w:p w14:paraId="78B72928" w14:textId="01B13F93" w:rsidR="00F96042" w:rsidRPr="00BE4EB1" w:rsidRDefault="00F96042" w:rsidP="0000442A">
            <w:pPr>
              <w:rPr>
                <w:rFonts w:ascii="Times New Roman" w:hAnsi="Times New Roman" w:cs="Times New Roman"/>
                <w:szCs w:val="24"/>
                <w:lang w:val="el-GR"/>
              </w:rPr>
            </w:pPr>
            <w:r w:rsidRPr="00BE4EB1">
              <w:rPr>
                <w:rFonts w:cstheme="majorHAnsi"/>
                <w:szCs w:val="24"/>
                <w:lang w:val="el-GR"/>
              </w:rPr>
              <w:t>9.00-12.30</w:t>
            </w:r>
          </w:p>
        </w:tc>
        <w:tc>
          <w:tcPr>
            <w:tcW w:w="8455" w:type="dxa"/>
          </w:tcPr>
          <w:p w14:paraId="1F776755" w14:textId="28C3926B" w:rsidR="00F96042" w:rsidRPr="00BE4EB1" w:rsidRDefault="00F96042" w:rsidP="00030A75">
            <w:pPr>
              <w:rPr>
                <w:rFonts w:cstheme="majorHAnsi"/>
                <w:b/>
                <w:color w:val="4472C4" w:themeColor="accent5"/>
                <w:szCs w:val="24"/>
              </w:rPr>
            </w:pPr>
            <w:r w:rsidRPr="00BE4EB1">
              <w:rPr>
                <w:rFonts w:cstheme="majorHAnsi"/>
                <w:b/>
                <w:color w:val="4472C4" w:themeColor="accent5"/>
                <w:szCs w:val="24"/>
              </w:rPr>
              <w:t xml:space="preserve">1. Financing Options and Methods for </w:t>
            </w:r>
            <w:r w:rsidR="008631A3">
              <w:rPr>
                <w:rFonts w:cstheme="majorHAnsi"/>
                <w:b/>
                <w:color w:val="4472C4" w:themeColor="accent5"/>
                <w:szCs w:val="24"/>
              </w:rPr>
              <w:t>Startup</w:t>
            </w:r>
            <w:r w:rsidRPr="00BE4EB1">
              <w:rPr>
                <w:rFonts w:cstheme="majorHAnsi"/>
                <w:b/>
                <w:color w:val="4472C4" w:themeColor="accent5"/>
                <w:szCs w:val="24"/>
              </w:rPr>
              <w:t xml:space="preserve">s </w:t>
            </w:r>
            <w:bookmarkStart w:id="0" w:name="_GoBack"/>
            <w:bookmarkEnd w:id="0"/>
          </w:p>
          <w:p w14:paraId="42C3DD61" w14:textId="5C8C13FB" w:rsidR="00F96042" w:rsidRPr="00BE4EB1" w:rsidRDefault="00F96042" w:rsidP="00030A75">
            <w:pPr>
              <w:ind w:left="720" w:hanging="720"/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>- Understanding the growth cycle: pre-launch; pre-revenue; growth</w:t>
            </w:r>
          </w:p>
          <w:p w14:paraId="6F10A03C" w14:textId="37FF8C59" w:rsidR="00F96042" w:rsidRPr="00BE4EB1" w:rsidRDefault="00F96042" w:rsidP="00030A75">
            <w:pPr>
              <w:ind w:left="720" w:hanging="720"/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>- Review of different investor types: FFF; angels; VC; PE; banks; EU funding; IPOs</w:t>
            </w:r>
          </w:p>
          <w:p w14:paraId="25B2D978" w14:textId="4AB1A7A7" w:rsidR="00F96042" w:rsidRPr="00BE4EB1" w:rsidRDefault="00F96042" w:rsidP="00030A75">
            <w:pPr>
              <w:rPr>
                <w:rFonts w:ascii="Times New Roman" w:hAnsi="Times New Roman" w:cs="Times New Roman"/>
                <w:szCs w:val="24"/>
              </w:rPr>
            </w:pPr>
            <w:r w:rsidRPr="00BE4EB1">
              <w:rPr>
                <w:rFonts w:cstheme="majorHAnsi"/>
                <w:szCs w:val="24"/>
              </w:rPr>
              <w:t>- Investment criteria</w:t>
            </w:r>
            <w:r w:rsidR="00BE4EB1" w:rsidRPr="00BE4EB1">
              <w:rPr>
                <w:rFonts w:cstheme="majorHAnsi"/>
                <w:szCs w:val="24"/>
              </w:rPr>
              <w:t xml:space="preserve"> and expectations</w:t>
            </w:r>
            <w:r w:rsidRPr="00BE4EB1">
              <w:rPr>
                <w:rFonts w:cstheme="majorHAnsi"/>
                <w:szCs w:val="24"/>
              </w:rPr>
              <w:t xml:space="preserve"> by investor type</w:t>
            </w:r>
          </w:p>
        </w:tc>
      </w:tr>
      <w:tr w:rsidR="00F96042" w:rsidRPr="00030A75" w14:paraId="51063E09" w14:textId="77777777" w:rsidTr="00030A75">
        <w:tc>
          <w:tcPr>
            <w:tcW w:w="895" w:type="dxa"/>
            <w:vMerge/>
          </w:tcPr>
          <w:p w14:paraId="13063C35" w14:textId="77777777" w:rsidR="00F96042" w:rsidRPr="00BE4EB1" w:rsidRDefault="00F96042" w:rsidP="00030A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55" w:type="dxa"/>
          </w:tcPr>
          <w:p w14:paraId="701DCD20" w14:textId="77777777" w:rsidR="00F96042" w:rsidRPr="00BE4EB1" w:rsidRDefault="00F96042" w:rsidP="00030A75">
            <w:pPr>
              <w:rPr>
                <w:rFonts w:cstheme="majorHAnsi"/>
                <w:b/>
                <w:color w:val="4472C4" w:themeColor="accent5"/>
                <w:szCs w:val="24"/>
              </w:rPr>
            </w:pPr>
            <w:r w:rsidRPr="00BE4EB1">
              <w:rPr>
                <w:rFonts w:cstheme="majorHAnsi"/>
                <w:b/>
                <w:color w:val="4472C4" w:themeColor="accent5"/>
                <w:szCs w:val="24"/>
              </w:rPr>
              <w:t>2. Business Modelling and Financial Planning</w:t>
            </w:r>
          </w:p>
          <w:p w14:paraId="42533924" w14:textId="77777777" w:rsidR="00F96042" w:rsidRPr="00BE4EB1" w:rsidRDefault="00F96042" w:rsidP="00030A75">
            <w:pPr>
              <w:ind w:left="720" w:hanging="720"/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 xml:space="preserve">- Developing a dynamic financial and operating model </w:t>
            </w:r>
          </w:p>
          <w:p w14:paraId="0DC3DEF1" w14:textId="77777777" w:rsidR="00F96042" w:rsidRPr="00BE4EB1" w:rsidRDefault="00F96042" w:rsidP="00030A75">
            <w:pPr>
              <w:ind w:left="720" w:hanging="720"/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>- Assumptions; Workings; Profit/Loss; Capital Expenditure; Valuation Models</w:t>
            </w:r>
          </w:p>
          <w:p w14:paraId="2E4C7441" w14:textId="381DDC1E" w:rsidR="00F96042" w:rsidRPr="00BE4EB1" w:rsidRDefault="00F96042" w:rsidP="00030A75">
            <w:pPr>
              <w:ind w:left="720" w:hanging="720"/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>- Sales and revenue modelling</w:t>
            </w:r>
            <w:r w:rsidR="00BE4EB1">
              <w:rPr>
                <w:rFonts w:cstheme="majorHAnsi"/>
                <w:szCs w:val="24"/>
              </w:rPr>
              <w:t>;</w:t>
            </w:r>
            <w:r w:rsidRPr="00BE4EB1">
              <w:rPr>
                <w:rFonts w:cstheme="majorHAnsi"/>
                <w:szCs w:val="24"/>
              </w:rPr>
              <w:t xml:space="preserve"> sales funnel optimization; non-revenue growth</w:t>
            </w:r>
          </w:p>
          <w:p w14:paraId="4614BE00" w14:textId="77777777" w:rsidR="00F96042" w:rsidRPr="00BE4EB1" w:rsidRDefault="00F96042" w:rsidP="00030A75">
            <w:pPr>
              <w:ind w:left="720" w:hanging="720"/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 xml:space="preserve">- Expenditure modelling </w:t>
            </w:r>
          </w:p>
          <w:p w14:paraId="24C9DE6B" w14:textId="6DC13AB1" w:rsidR="00F96042" w:rsidRPr="00BE4EB1" w:rsidRDefault="00F96042" w:rsidP="00030A75">
            <w:pPr>
              <w:ind w:left="720" w:hanging="720"/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 xml:space="preserve">- Capital expenditure and use of funds by </w:t>
            </w:r>
            <w:r w:rsidR="008631A3">
              <w:rPr>
                <w:rFonts w:cstheme="majorHAnsi"/>
                <w:szCs w:val="24"/>
              </w:rPr>
              <w:t>startup</w:t>
            </w:r>
            <w:r w:rsidRPr="00BE4EB1">
              <w:rPr>
                <w:rFonts w:cstheme="majorHAnsi"/>
                <w:szCs w:val="24"/>
              </w:rPr>
              <w:t>s</w:t>
            </w:r>
          </w:p>
          <w:p w14:paraId="6F666F3B" w14:textId="77777777" w:rsidR="00F96042" w:rsidRPr="00BE4EB1" w:rsidRDefault="00F96042" w:rsidP="00030A75">
            <w:pPr>
              <w:ind w:left="720" w:hanging="720"/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>- Profit/loss model</w:t>
            </w:r>
          </w:p>
          <w:p w14:paraId="47C62BC2" w14:textId="6DE60144" w:rsidR="00F96042" w:rsidRPr="00BE4EB1" w:rsidRDefault="00F96042" w:rsidP="00030A75">
            <w:pPr>
              <w:ind w:left="720" w:hanging="720"/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 xml:space="preserve">- Key financial indicators, including NPV, IRR, </w:t>
            </w:r>
            <w:r w:rsidR="008631A3">
              <w:rPr>
                <w:rFonts w:cstheme="majorHAnsi"/>
                <w:szCs w:val="24"/>
              </w:rPr>
              <w:t>startup</w:t>
            </w:r>
            <w:r w:rsidRPr="00BE4EB1">
              <w:rPr>
                <w:rFonts w:cstheme="majorHAnsi"/>
                <w:szCs w:val="24"/>
              </w:rPr>
              <w:t xml:space="preserve"> valuation </w:t>
            </w:r>
          </w:p>
          <w:p w14:paraId="64B9EF9B" w14:textId="77777777" w:rsidR="00F96042" w:rsidRPr="00BE4EB1" w:rsidRDefault="00F96042" w:rsidP="00030A75">
            <w:pPr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 xml:space="preserve">- Key operating indicators, including cash burn rate, runway, customer acquisition costs, active users, churn, etc. </w:t>
            </w:r>
          </w:p>
          <w:p w14:paraId="002D9C1E" w14:textId="77777777" w:rsidR="00F96042" w:rsidRPr="00BE4EB1" w:rsidRDefault="00F96042" w:rsidP="00030A75">
            <w:pPr>
              <w:rPr>
                <w:rFonts w:cstheme="majorHAnsi"/>
                <w:szCs w:val="24"/>
              </w:rPr>
            </w:pPr>
          </w:p>
          <w:p w14:paraId="71407646" w14:textId="258680A8" w:rsidR="00F96042" w:rsidRPr="00BE4EB1" w:rsidRDefault="00F96042" w:rsidP="00030A75">
            <w:pPr>
              <w:rPr>
                <w:rFonts w:cstheme="majorHAnsi"/>
                <w:i/>
                <w:szCs w:val="24"/>
              </w:rPr>
            </w:pPr>
            <w:r w:rsidRPr="00BE4EB1">
              <w:rPr>
                <w:rFonts w:cstheme="majorHAnsi"/>
                <w:i/>
                <w:szCs w:val="24"/>
              </w:rPr>
              <w:t xml:space="preserve">We will use a live Excel template and tech </w:t>
            </w:r>
            <w:r w:rsidR="008631A3">
              <w:rPr>
                <w:rFonts w:cstheme="majorHAnsi"/>
                <w:i/>
                <w:szCs w:val="24"/>
              </w:rPr>
              <w:t>startup</w:t>
            </w:r>
            <w:r w:rsidRPr="00BE4EB1">
              <w:rPr>
                <w:rFonts w:cstheme="majorHAnsi"/>
                <w:i/>
                <w:szCs w:val="24"/>
              </w:rPr>
              <w:t xml:space="preserve"> case study developed by Navigator called “</w:t>
            </w:r>
            <w:proofErr w:type="spellStart"/>
            <w:r w:rsidRPr="00BE4EB1">
              <w:rPr>
                <w:rFonts w:cstheme="majorHAnsi"/>
                <w:i/>
                <w:szCs w:val="24"/>
              </w:rPr>
              <w:t>CloudAware</w:t>
            </w:r>
            <w:proofErr w:type="spellEnd"/>
            <w:r w:rsidRPr="00BE4EB1">
              <w:rPr>
                <w:rFonts w:cstheme="majorHAnsi"/>
                <w:i/>
                <w:szCs w:val="24"/>
              </w:rPr>
              <w:t xml:space="preserve">”. Seminar participants are invited to bring laptops with them. The template can be adapted by each </w:t>
            </w:r>
            <w:r w:rsidR="008631A3">
              <w:rPr>
                <w:rFonts w:cstheme="majorHAnsi"/>
                <w:i/>
                <w:szCs w:val="24"/>
              </w:rPr>
              <w:t>startup</w:t>
            </w:r>
            <w:r w:rsidRPr="00BE4EB1">
              <w:rPr>
                <w:rFonts w:cstheme="majorHAnsi"/>
                <w:i/>
                <w:szCs w:val="24"/>
              </w:rPr>
              <w:t xml:space="preserve"> for their own business model and financial plan. </w:t>
            </w:r>
          </w:p>
        </w:tc>
      </w:tr>
      <w:tr w:rsidR="00F96042" w:rsidRPr="00030A75" w14:paraId="6AA9D5D2" w14:textId="77777777" w:rsidTr="00030A75">
        <w:tc>
          <w:tcPr>
            <w:tcW w:w="895" w:type="dxa"/>
            <w:vMerge/>
          </w:tcPr>
          <w:p w14:paraId="7786BA9B" w14:textId="77777777" w:rsidR="00F96042" w:rsidRPr="00BE4EB1" w:rsidRDefault="00F96042" w:rsidP="00030A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55" w:type="dxa"/>
          </w:tcPr>
          <w:p w14:paraId="00FE5CF9" w14:textId="77777777" w:rsidR="00F96042" w:rsidRPr="00BE4EB1" w:rsidRDefault="00F96042" w:rsidP="00F96042">
            <w:pPr>
              <w:rPr>
                <w:rFonts w:cstheme="majorHAnsi"/>
                <w:b/>
                <w:color w:val="4472C4" w:themeColor="accent5"/>
                <w:szCs w:val="24"/>
              </w:rPr>
            </w:pPr>
            <w:r w:rsidRPr="00BE4EB1">
              <w:rPr>
                <w:rFonts w:cstheme="majorHAnsi"/>
                <w:b/>
                <w:color w:val="4472C4" w:themeColor="accent5"/>
                <w:szCs w:val="24"/>
              </w:rPr>
              <w:t xml:space="preserve">3. Pitching and Term Sheets </w:t>
            </w:r>
          </w:p>
          <w:p w14:paraId="39416AEA" w14:textId="77777777" w:rsidR="00F96042" w:rsidRPr="00BE4EB1" w:rsidRDefault="00F96042" w:rsidP="00F96042">
            <w:pPr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>- Know what to ask for: Use of funds; Fund release and disbursement mechanisms</w:t>
            </w:r>
          </w:p>
          <w:p w14:paraId="1DAF5E2A" w14:textId="77777777" w:rsidR="00F96042" w:rsidRPr="00BE4EB1" w:rsidRDefault="00F96042" w:rsidP="00F96042">
            <w:pPr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 xml:space="preserve">- Preparing for and implementing investor due diligence </w:t>
            </w:r>
          </w:p>
          <w:p w14:paraId="6BBC3750" w14:textId="77777777" w:rsidR="00F96042" w:rsidRPr="00BE4EB1" w:rsidRDefault="00F96042" w:rsidP="00F96042">
            <w:pPr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>- Structuring a term sheet: common investors requests and terms</w:t>
            </w:r>
          </w:p>
          <w:p w14:paraId="2EA2F1E6" w14:textId="77777777" w:rsidR="00F96042" w:rsidRPr="00BE4EB1" w:rsidRDefault="00F96042" w:rsidP="00F96042">
            <w:pPr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 xml:space="preserve">- Pre- and post-money valuation </w:t>
            </w:r>
          </w:p>
          <w:p w14:paraId="3C26C585" w14:textId="77777777" w:rsidR="00F96042" w:rsidRPr="00BE4EB1" w:rsidRDefault="00F96042" w:rsidP="00F96042">
            <w:pPr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>- Dealing with equity dilution in the first and subsequent funding rounds</w:t>
            </w:r>
          </w:p>
          <w:p w14:paraId="06B1B643" w14:textId="5D92E67D" w:rsidR="00F96042" w:rsidRPr="00BE4EB1" w:rsidRDefault="00F96042" w:rsidP="00F96042">
            <w:pPr>
              <w:rPr>
                <w:rFonts w:ascii="Times New Roman" w:hAnsi="Times New Roman" w:cs="Times New Roman"/>
                <w:szCs w:val="24"/>
              </w:rPr>
            </w:pPr>
            <w:r w:rsidRPr="00BE4EB1">
              <w:rPr>
                <w:rFonts w:cstheme="majorHAnsi"/>
                <w:szCs w:val="24"/>
              </w:rPr>
              <w:t xml:space="preserve">- Structuring a board of directors and </w:t>
            </w:r>
            <w:r w:rsidR="008631A3">
              <w:rPr>
                <w:rFonts w:cstheme="majorHAnsi"/>
                <w:szCs w:val="24"/>
              </w:rPr>
              <w:t>startup</w:t>
            </w:r>
            <w:r w:rsidRPr="00BE4EB1">
              <w:rPr>
                <w:rFonts w:cstheme="majorHAnsi"/>
                <w:szCs w:val="24"/>
              </w:rPr>
              <w:t xml:space="preserve"> governance post-investment</w:t>
            </w:r>
          </w:p>
        </w:tc>
      </w:tr>
      <w:tr w:rsidR="00030A75" w:rsidRPr="00030A75" w14:paraId="10A3BE77" w14:textId="77777777" w:rsidTr="00030A75">
        <w:tc>
          <w:tcPr>
            <w:tcW w:w="895" w:type="dxa"/>
          </w:tcPr>
          <w:p w14:paraId="107CBCF2" w14:textId="7AA0D270" w:rsidR="00030A75" w:rsidRPr="00BE4EB1" w:rsidRDefault="00F96042" w:rsidP="00030A75">
            <w:pPr>
              <w:rPr>
                <w:rFonts w:ascii="Times New Roman" w:hAnsi="Times New Roman" w:cs="Times New Roman"/>
                <w:szCs w:val="24"/>
              </w:rPr>
            </w:pPr>
            <w:r w:rsidRPr="00BE4EB1">
              <w:rPr>
                <w:rFonts w:cstheme="majorHAnsi"/>
                <w:szCs w:val="24"/>
                <w:lang w:val="el-GR"/>
              </w:rPr>
              <w:t>12.30-13.30</w:t>
            </w:r>
          </w:p>
        </w:tc>
        <w:tc>
          <w:tcPr>
            <w:tcW w:w="8455" w:type="dxa"/>
          </w:tcPr>
          <w:p w14:paraId="00A856A9" w14:textId="3C1AE82C" w:rsidR="00F96042" w:rsidRPr="00AD29C4" w:rsidRDefault="00AD29C4" w:rsidP="00F96042">
            <w:pPr>
              <w:rPr>
                <w:rFonts w:cstheme="majorHAnsi"/>
                <w:b/>
                <w:color w:val="4472C4" w:themeColor="accent5"/>
                <w:szCs w:val="24"/>
              </w:rPr>
            </w:pPr>
            <w:r>
              <w:rPr>
                <w:rFonts w:cstheme="majorHAnsi"/>
                <w:b/>
                <w:color w:val="4472C4" w:themeColor="accent5"/>
                <w:szCs w:val="24"/>
              </w:rPr>
              <w:t>Lunch Break</w:t>
            </w:r>
          </w:p>
          <w:p w14:paraId="1C6959B9" w14:textId="77777777" w:rsidR="00030A75" w:rsidRPr="00BE4EB1" w:rsidRDefault="00030A75" w:rsidP="00030A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380A" w:rsidRPr="00030A75" w14:paraId="621C4372" w14:textId="77777777" w:rsidTr="007F4167">
        <w:trPr>
          <w:trHeight w:val="3809"/>
        </w:trPr>
        <w:tc>
          <w:tcPr>
            <w:tcW w:w="895" w:type="dxa"/>
          </w:tcPr>
          <w:p w14:paraId="74CE8DCE" w14:textId="628AA46A" w:rsidR="0097380A" w:rsidRPr="00BE4EB1" w:rsidRDefault="0097380A" w:rsidP="00030A75">
            <w:pPr>
              <w:rPr>
                <w:rFonts w:ascii="Times New Roman" w:hAnsi="Times New Roman" w:cs="Times New Roman"/>
                <w:szCs w:val="24"/>
              </w:rPr>
            </w:pPr>
            <w:r w:rsidRPr="00BE4EB1">
              <w:rPr>
                <w:rFonts w:cstheme="majorHAnsi"/>
                <w:szCs w:val="24"/>
                <w:lang w:val="el-GR"/>
              </w:rPr>
              <w:t>13.30-17.00</w:t>
            </w:r>
          </w:p>
        </w:tc>
        <w:tc>
          <w:tcPr>
            <w:tcW w:w="8455" w:type="dxa"/>
          </w:tcPr>
          <w:p w14:paraId="0E9F4148" w14:textId="77777777" w:rsidR="0097380A" w:rsidRPr="00BE4EB1" w:rsidRDefault="0097380A" w:rsidP="00030A75">
            <w:pPr>
              <w:rPr>
                <w:rFonts w:cstheme="majorHAnsi"/>
                <w:b/>
                <w:color w:val="4472C4" w:themeColor="accent5"/>
                <w:szCs w:val="24"/>
              </w:rPr>
            </w:pPr>
            <w:r w:rsidRPr="00BE4EB1">
              <w:rPr>
                <w:rFonts w:cstheme="majorHAnsi"/>
                <w:b/>
                <w:color w:val="4472C4" w:themeColor="accent5"/>
                <w:szCs w:val="24"/>
              </w:rPr>
              <w:t>Achieving Product Market Fit</w:t>
            </w:r>
          </w:p>
          <w:p w14:paraId="1B660AB0" w14:textId="77777777" w:rsidR="0097380A" w:rsidRPr="00BE4EB1" w:rsidRDefault="0097380A" w:rsidP="00F96042">
            <w:pPr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>- Development and launch cycles</w:t>
            </w:r>
          </w:p>
          <w:p w14:paraId="6D37E3AA" w14:textId="77777777" w:rsidR="0097380A" w:rsidRPr="00BE4EB1" w:rsidRDefault="0097380A" w:rsidP="00F96042">
            <w:pPr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 xml:space="preserve">- Customer feedback: UX / UI / CEM </w:t>
            </w:r>
          </w:p>
          <w:p w14:paraId="05E45D88" w14:textId="77777777" w:rsidR="0097380A" w:rsidRPr="00BE4EB1" w:rsidRDefault="0097380A" w:rsidP="00F96042">
            <w:pPr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>- Service delivery and fulfillment issues</w:t>
            </w:r>
          </w:p>
          <w:p w14:paraId="450757A9" w14:textId="77777777" w:rsidR="0097380A" w:rsidRPr="00BE4EB1" w:rsidRDefault="0097380A" w:rsidP="00F96042">
            <w:pPr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>- Achieving customer share, customer engagement, segment/market share</w:t>
            </w:r>
          </w:p>
          <w:p w14:paraId="3EC6FB54" w14:textId="77777777" w:rsidR="0097380A" w:rsidRPr="00BE4EB1" w:rsidRDefault="0097380A" w:rsidP="00F96042">
            <w:pPr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>- Pricing models and methods</w:t>
            </w:r>
          </w:p>
          <w:p w14:paraId="72A48CEB" w14:textId="77777777" w:rsidR="0097380A" w:rsidRPr="00BE4EB1" w:rsidRDefault="0097380A" w:rsidP="00E03882">
            <w:pPr>
              <w:rPr>
                <w:rFonts w:cstheme="majorHAnsi"/>
                <w:b/>
                <w:color w:val="4472C4" w:themeColor="accent5"/>
                <w:szCs w:val="24"/>
              </w:rPr>
            </w:pPr>
            <w:r>
              <w:rPr>
                <w:rFonts w:cstheme="majorHAnsi"/>
                <w:b/>
                <w:color w:val="4472C4" w:themeColor="accent5"/>
                <w:szCs w:val="24"/>
              </w:rPr>
              <w:t>S</w:t>
            </w:r>
            <w:r w:rsidRPr="00BE4EB1">
              <w:rPr>
                <w:rFonts w:cstheme="majorHAnsi"/>
                <w:b/>
                <w:color w:val="4472C4" w:themeColor="accent5"/>
                <w:szCs w:val="24"/>
              </w:rPr>
              <w:t>caling up and Growth</w:t>
            </w:r>
          </w:p>
          <w:p w14:paraId="2DBF178C" w14:textId="77777777" w:rsidR="0097380A" w:rsidRPr="00BE4EB1" w:rsidRDefault="0097380A" w:rsidP="00E03882">
            <w:pPr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 xml:space="preserve">- Selling methods and contracting, focusing on B2B and B2C </w:t>
            </w:r>
          </w:p>
          <w:p w14:paraId="16F71939" w14:textId="77777777" w:rsidR="0097380A" w:rsidRPr="00BE4EB1" w:rsidRDefault="0097380A" w:rsidP="00E03882">
            <w:pPr>
              <w:rPr>
                <w:rFonts w:cstheme="majorHAnsi"/>
                <w:szCs w:val="24"/>
              </w:rPr>
            </w:pPr>
            <w:r w:rsidRPr="00BE4EB1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BE4EB1">
              <w:rPr>
                <w:rFonts w:cstheme="majorHAnsi"/>
                <w:szCs w:val="24"/>
              </w:rPr>
              <w:t>Growth hacking and online growth methods</w:t>
            </w:r>
          </w:p>
          <w:p w14:paraId="208F5E80" w14:textId="77777777" w:rsidR="0097380A" w:rsidRPr="00BE4EB1" w:rsidRDefault="0097380A" w:rsidP="00E03882">
            <w:pPr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>- Users and user management</w:t>
            </w:r>
          </w:p>
          <w:p w14:paraId="37291038" w14:textId="77777777" w:rsidR="0097380A" w:rsidRPr="00BE4EB1" w:rsidRDefault="0097380A" w:rsidP="00E03882">
            <w:pPr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 xml:space="preserve">- Revenue and conversion models  </w:t>
            </w:r>
          </w:p>
          <w:p w14:paraId="3D600544" w14:textId="77777777" w:rsidR="0097380A" w:rsidRPr="00BE4EB1" w:rsidRDefault="0097380A" w:rsidP="00E03882">
            <w:pPr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>- Marketing, Selling &amp; Public Relations</w:t>
            </w:r>
          </w:p>
          <w:p w14:paraId="332308FB" w14:textId="27B6E223" w:rsidR="0097380A" w:rsidRPr="00BE4EB1" w:rsidRDefault="0097380A" w:rsidP="00E03882">
            <w:pPr>
              <w:rPr>
                <w:rFonts w:cstheme="majorHAnsi"/>
                <w:szCs w:val="24"/>
              </w:rPr>
            </w:pPr>
            <w:r w:rsidRPr="00BE4EB1">
              <w:rPr>
                <w:rFonts w:cstheme="majorHAnsi"/>
                <w:szCs w:val="24"/>
              </w:rPr>
              <w:t xml:space="preserve">- Scaling up: Engineering, </w:t>
            </w:r>
            <w:proofErr w:type="spellStart"/>
            <w:r w:rsidRPr="00BE4EB1">
              <w:rPr>
                <w:rFonts w:cstheme="majorHAnsi"/>
                <w:szCs w:val="24"/>
              </w:rPr>
              <w:t>Orga</w:t>
            </w:r>
            <w:proofErr w:type="spellEnd"/>
            <w:r w:rsidRPr="00BE4EB1">
              <w:rPr>
                <w:rFonts w:cstheme="majorHAnsi"/>
                <w:szCs w:val="24"/>
              </w:rPr>
              <w:t>, Customer Service, Contracting, Staffing</w:t>
            </w:r>
          </w:p>
        </w:tc>
      </w:tr>
    </w:tbl>
    <w:p w14:paraId="395645A5" w14:textId="00839FFD" w:rsidR="00B3023A" w:rsidRPr="00BE4EB1" w:rsidRDefault="00030A75" w:rsidP="00BE4EB1">
      <w:r w:rsidRPr="00030A75">
        <w:br w:type="textWrapping" w:clear="all"/>
      </w:r>
    </w:p>
    <w:p w14:paraId="10B86A4B" w14:textId="31B9513E" w:rsidR="00BE4EB1" w:rsidRDefault="000A4879" w:rsidP="00BE4EB1">
      <w:hyperlink r:id="rId9" w:history="1">
        <w:r w:rsidR="00BE4EB1" w:rsidRPr="006513FD">
          <w:rPr>
            <w:rStyle w:val="Hyperlink"/>
            <w:b/>
          </w:rPr>
          <w:t>Philip Ammerman</w:t>
        </w:r>
      </w:hyperlink>
      <w:r w:rsidR="00BE4EB1" w:rsidRPr="00BE4EB1">
        <w:t xml:space="preserve"> is a company founder, entrepreneur and investment advisor. He works with </w:t>
      </w:r>
      <w:r w:rsidR="00BE4EB1">
        <w:t xml:space="preserve">investors, founders, and other clients in due diligence, business valuation, financial modelling business development and investment management. </w:t>
      </w:r>
      <w:bookmarkStart w:id="1" w:name="OLE_LINK3"/>
      <w:bookmarkStart w:id="2" w:name="OLE_LINK4"/>
    </w:p>
    <w:p w14:paraId="5596D8C8" w14:textId="2FB35CCD" w:rsidR="00BE4EB1" w:rsidRDefault="00BE4EB1" w:rsidP="00BE4EB1"/>
    <w:p w14:paraId="36B10681" w14:textId="0EB0D4BC" w:rsidR="00BE4EB1" w:rsidRDefault="00BE4EB1" w:rsidP="00BE4EB1">
      <w:r>
        <w:t>He has</w:t>
      </w:r>
      <w:r w:rsidRPr="00BE4EB1">
        <w:t xml:space="preserve"> advised on “real economy” investments, on over 120 investment transactions with a total investment value exceeding € 6 billion. </w:t>
      </w:r>
      <w:r>
        <w:t xml:space="preserve">He has extensive experience in the tech sector, advising buy-side investors (VCs, PE firms, family offices, business angels) on due diligence and investment decisions. He also supports founders in areas such as business </w:t>
      </w:r>
      <w:r w:rsidR="00610C51">
        <w:t xml:space="preserve">planning, valuation and fundraising. </w:t>
      </w:r>
    </w:p>
    <w:p w14:paraId="30DDE263" w14:textId="4B42C6FE" w:rsidR="00E22E37" w:rsidRDefault="00E22E37" w:rsidP="00BE4EB1"/>
    <w:p w14:paraId="5BD8EA5B" w14:textId="47AFEBA8" w:rsidR="00E22E37" w:rsidRDefault="00E22E37" w:rsidP="00BE4EB1">
      <w:r>
        <w:t xml:space="preserve">Philip founded </w:t>
      </w:r>
      <w:hyperlink r:id="rId10" w:history="1">
        <w:r w:rsidRPr="00E22E37">
          <w:rPr>
            <w:rStyle w:val="Hyperlink"/>
            <w:b/>
          </w:rPr>
          <w:t>Navigator Consulting Group</w:t>
        </w:r>
      </w:hyperlink>
      <w:r>
        <w:t xml:space="preserve"> in 1995, and </w:t>
      </w:r>
      <w:hyperlink r:id="rId11" w:history="1">
        <w:proofErr w:type="spellStart"/>
        <w:r w:rsidRPr="00E22E37">
          <w:rPr>
            <w:rStyle w:val="Hyperlink"/>
            <w:b/>
          </w:rPr>
          <w:t>Numenor</w:t>
        </w:r>
        <w:proofErr w:type="spellEnd"/>
        <w:r w:rsidRPr="00E22E37">
          <w:rPr>
            <w:rStyle w:val="Hyperlink"/>
            <w:b/>
          </w:rPr>
          <w:t xml:space="preserve"> Capital Partners</w:t>
        </w:r>
      </w:hyperlink>
      <w:r>
        <w:t xml:space="preserve"> in 2016. </w:t>
      </w:r>
    </w:p>
    <w:p w14:paraId="7566683E" w14:textId="74B9FC8B" w:rsidR="006513FD" w:rsidRDefault="006513FD" w:rsidP="00BE4EB1"/>
    <w:p w14:paraId="405363AC" w14:textId="5B6E6491" w:rsidR="00BE4EB1" w:rsidRPr="00BE4EB1" w:rsidRDefault="006513FD" w:rsidP="00BE4EB1">
      <w:r>
        <w:t xml:space="preserve">In 2010, Philip founded the </w:t>
      </w:r>
      <w:hyperlink r:id="rId12" w:history="1">
        <w:r w:rsidRPr="006513FD">
          <w:rPr>
            <w:rStyle w:val="Hyperlink"/>
            <w:b/>
          </w:rPr>
          <w:t>Navigator Entrepreneurship Charter</w:t>
        </w:r>
      </w:hyperlink>
      <w:r>
        <w:t>, a commitment</w:t>
      </w:r>
      <w:r w:rsidRPr="00BE4EB1">
        <w:t xml:space="preserve"> to support growth in Europe by investing in 10 new </w:t>
      </w:r>
      <w:r w:rsidR="008631A3">
        <w:t>startup</w:t>
      </w:r>
      <w:r w:rsidRPr="00BE4EB1">
        <w:t xml:space="preserve">s and spin-offs between 2010 and 2020. In this capacity, Philip acts as early stage angel investor and board member, and has co-founded or invested in 6 </w:t>
      </w:r>
      <w:r w:rsidR="008631A3">
        <w:t>startup</w:t>
      </w:r>
      <w:r w:rsidRPr="00BE4EB1">
        <w:t>s so far, all in the B2B online services space.</w:t>
      </w:r>
    </w:p>
    <w:p w14:paraId="2099B209" w14:textId="77777777" w:rsidR="00BE4EB1" w:rsidRPr="00BE4EB1" w:rsidRDefault="00BE4EB1" w:rsidP="00BE4EB1"/>
    <w:p w14:paraId="31886819" w14:textId="17173E3D" w:rsidR="006513FD" w:rsidRDefault="00BE4EB1" w:rsidP="00BE4EB1">
      <w:r w:rsidRPr="00BE4EB1">
        <w:lastRenderedPageBreak/>
        <w:t>Philip acts as a proposal evaluator for the European Union’s Horizon 2020 SME</w:t>
      </w:r>
      <w:r w:rsidR="006513FD">
        <w:t xml:space="preserve"> I and II</w:t>
      </w:r>
      <w:r w:rsidRPr="00BE4EB1">
        <w:t xml:space="preserve"> Instrument</w:t>
      </w:r>
      <w:r w:rsidR="006513FD">
        <w:t>s</w:t>
      </w:r>
      <w:r w:rsidRPr="00BE4EB1">
        <w:t xml:space="preserve">. </w:t>
      </w:r>
    </w:p>
    <w:p w14:paraId="71BB5CF5" w14:textId="3BEA290D" w:rsidR="006513FD" w:rsidRDefault="006513FD" w:rsidP="00BE4EB1"/>
    <w:p w14:paraId="2135AFEA" w14:textId="0219D43C" w:rsidR="006513FD" w:rsidRDefault="006513FD" w:rsidP="00BE4EB1">
      <w:r>
        <w:t xml:space="preserve">He is a regional portfolio manager for </w:t>
      </w:r>
      <w:hyperlink r:id="rId13" w:history="1">
        <w:proofErr w:type="spellStart"/>
        <w:r w:rsidRPr="00E22E37">
          <w:rPr>
            <w:rStyle w:val="Hyperlink"/>
            <w:b/>
          </w:rPr>
          <w:t>Brookstreet</w:t>
        </w:r>
        <w:proofErr w:type="spellEnd"/>
        <w:r w:rsidRPr="00E22E37">
          <w:rPr>
            <w:rStyle w:val="Hyperlink"/>
            <w:b/>
          </w:rPr>
          <w:t xml:space="preserve"> Equity Partners</w:t>
        </w:r>
      </w:hyperlink>
      <w:r>
        <w:t xml:space="preserve">, an awarded London-based private equity fund that supports Greek and Cypriot family-owned </w:t>
      </w:r>
      <w:r w:rsidR="008631A3">
        <w:t>startup</w:t>
      </w:r>
      <w:r>
        <w:t xml:space="preserve">s and innovative firms in international growth. </w:t>
      </w:r>
      <w:proofErr w:type="spellStart"/>
      <w:r>
        <w:t>Brookstreet</w:t>
      </w:r>
      <w:proofErr w:type="spellEnd"/>
      <w:r>
        <w:t xml:space="preserve"> recently announced its first investment, in Greek nanotechnology </w:t>
      </w:r>
      <w:r w:rsidR="00E22E37">
        <w:t>scale-up</w:t>
      </w:r>
      <w:r>
        <w:t xml:space="preserve"> </w:t>
      </w:r>
      <w:hyperlink r:id="rId14" w:history="1">
        <w:proofErr w:type="spellStart"/>
        <w:r w:rsidRPr="00E22E37">
          <w:rPr>
            <w:rStyle w:val="Hyperlink"/>
            <w:b/>
          </w:rPr>
          <w:t>Nanophos</w:t>
        </w:r>
        <w:proofErr w:type="spellEnd"/>
      </w:hyperlink>
      <w:r>
        <w:t xml:space="preserve">. </w:t>
      </w:r>
    </w:p>
    <w:p w14:paraId="755F8E83" w14:textId="6DEB3B3D" w:rsidR="00B0060E" w:rsidRDefault="00B0060E" w:rsidP="00BE4EB1"/>
    <w:p w14:paraId="744C728A" w14:textId="657F03E8" w:rsidR="00B0060E" w:rsidRPr="006513FD" w:rsidRDefault="00B0060E" w:rsidP="00BE4EB1">
      <w:r>
        <w:t xml:space="preserve">Philip is a non-executive board member of Redfin Asset Management, an asset management firm providing services to high net worth individuals and family offices. </w:t>
      </w:r>
    </w:p>
    <w:p w14:paraId="160B2208" w14:textId="3A24AA00" w:rsidR="006513FD" w:rsidRDefault="006513FD" w:rsidP="00BE4EB1"/>
    <w:p w14:paraId="3375A0A7" w14:textId="50B69584" w:rsidR="00BE4EB1" w:rsidRDefault="00BE4EB1" w:rsidP="00BE4EB1">
      <w:r w:rsidRPr="00BE4EB1">
        <w:t xml:space="preserve">Originally from Athens, Greece, Philip is a resident in Cyprus since 2016, and travels over 250 days per year. He has implemented project work in over 40 countries, and has </w:t>
      </w:r>
      <w:r w:rsidR="006513FD">
        <w:t>been based</w:t>
      </w:r>
      <w:r w:rsidRPr="00BE4EB1">
        <w:t xml:space="preserve"> in Greece, Cyprus, Germany, France and the United States.</w:t>
      </w:r>
    </w:p>
    <w:p w14:paraId="0792C651" w14:textId="59EC8DC5" w:rsidR="00D85A10" w:rsidRDefault="00D85A10" w:rsidP="00BE4EB1"/>
    <w:p w14:paraId="6307A78A" w14:textId="1D917A1E" w:rsidR="00D85A10" w:rsidRPr="00BE4EB1" w:rsidRDefault="00D85A10" w:rsidP="00BE4EB1">
      <w:r>
        <w:t xml:space="preserve">He studied at Princeton University (1994); Cornell School of Industrial &amp; </w:t>
      </w:r>
      <w:proofErr w:type="spellStart"/>
      <w:r>
        <w:t>Labour</w:t>
      </w:r>
      <w:proofErr w:type="spellEnd"/>
      <w:r>
        <w:t xml:space="preserve"> Studies (2006)</w:t>
      </w:r>
      <w:r w:rsidR="00B0060E">
        <w:t xml:space="preserve">, </w:t>
      </w:r>
      <w:r>
        <w:t>Oxford Said Business School (2017)</w:t>
      </w:r>
      <w:r w:rsidR="00B0060E">
        <w:t xml:space="preserve"> and the </w:t>
      </w:r>
      <w:proofErr w:type="spellStart"/>
      <w:r w:rsidR="00B0060E">
        <w:t>YCombinator</w:t>
      </w:r>
      <w:proofErr w:type="spellEnd"/>
      <w:r w:rsidR="00B0060E">
        <w:t xml:space="preserve"> Startup School (2018).</w:t>
      </w:r>
      <w:r>
        <w:t xml:space="preserve"> Philip speaks English, Greek, German and French. </w:t>
      </w:r>
    </w:p>
    <w:bookmarkEnd w:id="1"/>
    <w:bookmarkEnd w:id="2"/>
    <w:p w14:paraId="005D2746" w14:textId="6F49BACB" w:rsidR="00BE4EB1" w:rsidRPr="00BE4EB1" w:rsidRDefault="00BE4EB1" w:rsidP="00BE4EB1"/>
    <w:sectPr w:rsidR="00BE4EB1" w:rsidRPr="00BE4EB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1F7D3" w14:textId="77777777" w:rsidR="004A1B98" w:rsidRDefault="004A1B98" w:rsidP="002D7470">
      <w:pPr>
        <w:spacing w:line="240" w:lineRule="auto"/>
      </w:pPr>
      <w:r>
        <w:separator/>
      </w:r>
    </w:p>
  </w:endnote>
  <w:endnote w:type="continuationSeparator" w:id="0">
    <w:p w14:paraId="57027DCF" w14:textId="77777777" w:rsidR="004A1B98" w:rsidRDefault="004A1B98" w:rsidP="002D7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D7960" w14:textId="77777777" w:rsidR="004A1B98" w:rsidRDefault="004A1B98" w:rsidP="002D7470">
      <w:pPr>
        <w:spacing w:line="240" w:lineRule="auto"/>
      </w:pPr>
      <w:r>
        <w:separator/>
      </w:r>
    </w:p>
  </w:footnote>
  <w:footnote w:type="continuationSeparator" w:id="0">
    <w:p w14:paraId="2E37D970" w14:textId="77777777" w:rsidR="004A1B98" w:rsidRDefault="004A1B98" w:rsidP="002D7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A6EC3" w14:textId="77777777" w:rsidR="002D7470" w:rsidRDefault="002D7470" w:rsidP="002D7470">
    <w:pPr>
      <w:pStyle w:val="Header"/>
      <w:tabs>
        <w:tab w:val="clear" w:pos="4680"/>
        <w:tab w:val="clear" w:pos="9360"/>
        <w:tab w:val="left" w:pos="1215"/>
        <w:tab w:val="left" w:pos="243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4F81"/>
    <w:multiLevelType w:val="hybridMultilevel"/>
    <w:tmpl w:val="CECE5B64"/>
    <w:lvl w:ilvl="0" w:tplc="14E263E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C73D7"/>
    <w:multiLevelType w:val="hybridMultilevel"/>
    <w:tmpl w:val="3B0498B2"/>
    <w:lvl w:ilvl="0" w:tplc="35CE983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2A"/>
    <w:rsid w:val="0000442A"/>
    <w:rsid w:val="00030A75"/>
    <w:rsid w:val="000A4879"/>
    <w:rsid w:val="00103200"/>
    <w:rsid w:val="00103C57"/>
    <w:rsid w:val="00127B5E"/>
    <w:rsid w:val="00135B49"/>
    <w:rsid w:val="0015367F"/>
    <w:rsid w:val="002548EF"/>
    <w:rsid w:val="002D7470"/>
    <w:rsid w:val="00366270"/>
    <w:rsid w:val="0039577A"/>
    <w:rsid w:val="00406D69"/>
    <w:rsid w:val="004665E7"/>
    <w:rsid w:val="00472D26"/>
    <w:rsid w:val="004A1B98"/>
    <w:rsid w:val="004D483E"/>
    <w:rsid w:val="005C1058"/>
    <w:rsid w:val="00610C51"/>
    <w:rsid w:val="006513FD"/>
    <w:rsid w:val="006A642E"/>
    <w:rsid w:val="0073570B"/>
    <w:rsid w:val="007D0DEE"/>
    <w:rsid w:val="00827A82"/>
    <w:rsid w:val="008631A3"/>
    <w:rsid w:val="0097380A"/>
    <w:rsid w:val="009861F8"/>
    <w:rsid w:val="009B1021"/>
    <w:rsid w:val="00AA6443"/>
    <w:rsid w:val="00AA7B46"/>
    <w:rsid w:val="00AC7CDF"/>
    <w:rsid w:val="00AD29C4"/>
    <w:rsid w:val="00AE3FC3"/>
    <w:rsid w:val="00B0060E"/>
    <w:rsid w:val="00B3023A"/>
    <w:rsid w:val="00B85CE5"/>
    <w:rsid w:val="00BE4EB1"/>
    <w:rsid w:val="00C0133D"/>
    <w:rsid w:val="00C12B0F"/>
    <w:rsid w:val="00D3182E"/>
    <w:rsid w:val="00D85A10"/>
    <w:rsid w:val="00E03882"/>
    <w:rsid w:val="00E13406"/>
    <w:rsid w:val="00E22E37"/>
    <w:rsid w:val="00E92464"/>
    <w:rsid w:val="00F22515"/>
    <w:rsid w:val="00F32BC1"/>
    <w:rsid w:val="00F9391E"/>
    <w:rsid w:val="00F96042"/>
    <w:rsid w:val="00FC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41BEAA"/>
  <w15:chartTrackingRefBased/>
  <w15:docId w15:val="{1C128BB4-B310-4945-8AF7-346967AA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B1"/>
    <w:pPr>
      <w:spacing w:after="0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4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4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70"/>
  </w:style>
  <w:style w:type="paragraph" w:styleId="Footer">
    <w:name w:val="footer"/>
    <w:basedOn w:val="Normal"/>
    <w:link w:val="FooterChar"/>
    <w:uiPriority w:val="99"/>
    <w:unhideWhenUsed/>
    <w:rsid w:val="002D74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70"/>
  </w:style>
  <w:style w:type="table" w:styleId="TableGrid">
    <w:name w:val="Table Grid"/>
    <w:basedOn w:val="TableNormal"/>
    <w:uiPriority w:val="39"/>
    <w:rsid w:val="002D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rookstreetequit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novationcentre.e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menorcapit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avigator-consul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vigator-consulting.com/page/consultants/philip-ammerman" TargetMode="External"/><Relationship Id="rId14" Type="http://schemas.openxmlformats.org/officeDocument/2006/relationships/hyperlink" Target="http://www.brookstreetequity.com/updates/2018/7/31/brookstreet-completes-investment-in-greek-nanotechnologyfirm-nanoph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A98B-3D30-4A8A-B972-4E48E987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Marios Theodosiou</dc:creator>
  <cp:keywords/>
  <dc:description/>
  <cp:lastModifiedBy>Marinos Photiades</cp:lastModifiedBy>
  <cp:revision>6</cp:revision>
  <cp:lastPrinted>2018-09-28T07:11:00Z</cp:lastPrinted>
  <dcterms:created xsi:type="dcterms:W3CDTF">2019-11-14T07:04:00Z</dcterms:created>
  <dcterms:modified xsi:type="dcterms:W3CDTF">2019-11-15T10:02:00Z</dcterms:modified>
</cp:coreProperties>
</file>